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D11R1/LEDN20DEX2</w:t>
      </w:r>
    </w:p>
    <w:p/>
    <w:p>
      <w:pPr/>
      <w:r>
        <w:pict>
          <v:shape type="#_x0000_t75" style="width:250pt; height:200.5208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Metal trim 1 mm thickness,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Ceiling cut-out: Ø 205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2350 lm, Luminous efficacy: 118 lm/W.</w:t>
      </w:r>
    </w:p>
    <w:p>
      <w:pPr>
        <w:numPr>
          <w:ilvl w:val="0"/>
          <w:numId w:val="3"/>
        </w:numPr>
      </w:pPr>
      <w:r>
        <w:rPr/>
        <w:t xml:space="preserve">Power: 20.0 W, DALI driver controlled by integrated sensor.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Injection-moulded aluminium housing, RAL9006 - white aluminium.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F1600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2023-06-13T13:35:23+02:00</dcterms:created>
  <dcterms:modified xsi:type="dcterms:W3CDTF">2023-06-13T13:35:23+02:00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