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Hochglanz mit rautenförmigen Facetten, mittelbreit strahlend Lichtverteilung.</w:t>
      </w:r>
    </w:p>
    <w:p>
      <w:pPr>
        <w:numPr>
          <w:ilvl w:val="0"/>
          <w:numId w:val="3"/>
        </w:numPr>
      </w:pPr>
      <w:r>
        <w:rPr/>
        <w:t xml:space="preserve">Dünner Metallrahmen 1 mm,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220 mm x 120 mm.</w:t>
      </w:r>
    </w:p>
    <w:p>
      <w:pPr>
        <w:numPr>
          <w:ilvl w:val="0"/>
          <w:numId w:val="3"/>
        </w:numPr>
      </w:pPr>
      <w:r>
        <w:rPr/>
        <w:t xml:space="preserve">individuell rund Decke Ausschnitt: Ø 205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3500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26.5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DB52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2025-04-14T08:11:57+02:00</dcterms:created>
  <dcterms:modified xsi:type="dcterms:W3CDTF">2025-04-14T08:11:57+02:00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