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montagem saliente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Corpo cilindrico em aluminio, outras cores RAL possiveis a pedido.</w:t>
      </w:r>
    </w:p>
    <w:p>
      <w:pPr>
        <w:numPr>
          <w:ilvl w:val="0"/>
          <w:numId w:val="3"/>
        </w:numPr>
      </w:pPr>
      <w:r>
        <w:rPr/>
        <w:t xml:space="preserve">Dimensões: Ø 200 mm x 212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1200 lm, Fluxo luminoso específico: 120 lm/W.</w:t>
      </w:r>
    </w:p>
    <w:p>
      <w:pPr>
        <w:numPr>
          <w:ilvl w:val="0"/>
          <w:numId w:val="3"/>
        </w:numPr>
      </w:pPr>
      <w:r>
        <w:rPr/>
        <w:t xml:space="preserve">Potência: 10.0 W, não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D1D3C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2023-06-28T14:56:40+02:00</dcterms:created>
  <dcterms:modified xsi:type="dcterms:W3CDTF">2023-06-28T14:56:40+02:00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