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specular with diamond facets, wide-angle light distribution.</w:t>
      </w:r>
    </w:p>
    <w:p>
      <w:pPr>
        <w:numPr>
          <w:ilvl w:val="0"/>
          <w:numId w:val="3"/>
        </w:numPr>
      </w:pPr>
      <w:r>
        <w:rPr/>
        <w:t xml:space="preserve">Aluminium cylindrical housing,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1300 lm, Luminous efficacy: 130 lm/W.</w:t>
      </w:r>
    </w:p>
    <w:p>
      <w:pPr>
        <w:numPr>
          <w:ilvl w:val="0"/>
          <w:numId w:val="3"/>
        </w:numPr>
      </w:pPr>
      <w:r>
        <w:rPr/>
        <w:t xml:space="preserve">Power: 10.0 W, DALI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51532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2023-06-28T14:58:12+02:00</dcterms:created>
  <dcterms:modified xsi:type="dcterms:W3CDTF">2023-06-28T14:58:12+02:00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