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D2C-S300-11-830-025D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Ytmonterad downlight med aluminiumreflektor.</w:t>
      </w:r>
    </w:p>
    <w:p>
      <w:pPr>
        <w:numPr>
          <w:ilvl w:val="0"/>
          <w:numId w:val="3"/>
        </w:numPr>
      </w:pPr>
      <w:r>
        <w:rPr/>
        <w:t xml:space="preserve">reflektor optik, aluminium, halvblank metalliserad / anodiserad, medelbredstrålande ljusfördelning.</w:t>
      </w:r>
    </w:p>
    <w:p>
      <w:pPr>
        <w:numPr>
          <w:ilvl w:val="0"/>
          <w:numId w:val="3"/>
        </w:numPr>
      </w:pPr>
      <w:r>
        <w:rPr/>
        <w:t xml:space="preserve">Armaturhus i aluminium, andra RAL-kulörer möjliga på förfrågan.</w:t>
      </w:r>
    </w:p>
    <w:p>
      <w:pPr>
        <w:numPr>
          <w:ilvl w:val="0"/>
          <w:numId w:val="3"/>
        </w:numPr>
      </w:pPr>
      <w:r>
        <w:rPr/>
        <w:t xml:space="preserve">Dimensioner: Ø 200 mm x 212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Reflektor skärmar av ljuskällan och förhindrar därigenom bländning, Bred ljusdistribution.</w:t>
      </w:r>
    </w:p>
    <w:p>
      <w:pPr>
        <w:numPr>
          <w:ilvl w:val="0"/>
          <w:numId w:val="3"/>
        </w:numPr>
      </w:pPr>
      <w:r>
        <w:rPr/>
        <w:t xml:space="preserve">Ljusflöde: 2550 lm, Specifikt ljusutbyte: 138 lm/W.</w:t>
      </w:r>
    </w:p>
    <w:p>
      <w:pPr>
        <w:numPr>
          <w:ilvl w:val="0"/>
          <w:numId w:val="3"/>
        </w:numPr>
      </w:pPr>
      <w:r>
        <w:rPr/>
        <w:t xml:space="preserve">Energiförbrukning: 18.5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RAL9003 - vit.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0DB56F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2025-03-11T11:05:48+01:00</dcterms:created>
  <dcterms:modified xsi:type="dcterms:W3CDTF">2025-03-11T11:05:48+01:00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