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Downlights avec technologie LED+LENS.</w:t>
      </w:r>
    </w:p>
    <w:p>
      <w:pPr>
        <w:numPr>
          <w:ilvl w:val="0"/>
          <w:numId w:val="3"/>
        </w:numPr>
      </w:pPr>
      <w:r>
        <w:rPr/>
        <w:t xml:space="preserve">Led+lens™ , optique lentilles en Polycarbonate (PC), distribution lumineuse extensive .</w:t>
      </w:r>
    </w:p>
    <w:p>
      <w:pPr>
        <w:numPr>
          <w:ilvl w:val="0"/>
          <w:numId w:val="3"/>
        </w:numPr>
      </w:pPr>
      <w:r>
        <w:rPr/>
        <w:t xml:space="preserve">Colerette blanche (RAL9003), module intérieur noir (RAL9005); autres combinaisons de couleurs disponibles sur demande.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Découpe plafond: Ø 230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2600 lm, Efficacité lumineuse: 137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C76196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2023-06-28T14:59:15+02:00</dcterms:created>
  <dcterms:modified xsi:type="dcterms:W3CDTF">2023-06-28T14:59:15+02:00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