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D7R3RBW/N1CHS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linéaire - angles arrondis, caisson noir.</w:t>
      </w:r>
    </w:p>
    <w:p>
      <w:pPr>
        <w:numPr>
          <w:ilvl w:val="0"/>
          <w:numId w:val="3"/>
        </w:numPr>
      </w:pPr>
      <w:r>
        <w:rPr/>
        <w:t xml:space="preserve">Led+lens™ , optique cups blancs, polycarbonate,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3 lentilles encastrées dans des alvéoles circulaires.</w:t>
      </w:r>
    </w:p>
    <w:p>
      <w:pPr>
        <w:numPr>
          <w:ilvl w:val="0"/>
          <w:numId w:val="3"/>
        </w:numPr>
      </w:pPr>
      <w:r>
        <w:rPr/>
        <w:t xml:space="preserve">Dimensions: 235 mm x 95 mm x 40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1100 lm, Efficacité lumineuse: 96 lm/W.</w:t>
      </w:r>
    </w:p>
    <w:p>
      <w:pPr>
        <w:numPr>
          <w:ilvl w:val="0"/>
          <w:numId w:val="3"/>
        </w:numPr>
      </w:pPr>
      <w:r>
        <w:rPr/>
        <w:t xml:space="preserve">Consommation de courant: 11.5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94%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pour une distribution lumineuse sans éblouissement avec UGR &lt;= {{object.ugrClass} et luminances @ 65° {{object.luminanceClass}} cd/m² conforme à la norme EN 12464-1 pour des exigences visuelles élevées, par ex. écran d'affichage, bureaux.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RAL9005 - noir foncé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C3837E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2024-02-27T14:47:46+01:00</dcterms:created>
  <dcterms:modified xsi:type="dcterms:W3CDTF">2024-02-27T14:47:46+01:00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