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D7R3RBW/N2CHD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linéaire - angles arrondis, caisson noir.</w:t>
      </w:r>
    </w:p>
    <w:p>
      <w:pPr>
        <w:numPr>
          <w:ilvl w:val="0"/>
          <w:numId w:val="3"/>
        </w:numPr>
      </w:pPr>
      <w:r>
        <w:rPr/>
        <w:t xml:space="preserve">Led+lens™ , optique cups blancs, polycarbonate, distribution lumineuse extensive .</w:t>
      </w:r>
    </w:p>
    <w:p>
      <w:pPr>
        <w:numPr>
          <w:ilvl w:val="0"/>
          <w:numId w:val="3"/>
        </w:numPr>
      </w:pPr>
      <w:r>
        <w:rPr/>
        <w:t xml:space="preserve">3 lentilles encastrées dans des alvéoles circulaires.</w:t>
      </w:r>
    </w:p>
    <w:p>
      <w:pPr>
        <w:numPr>
          <w:ilvl w:val="0"/>
          <w:numId w:val="3"/>
        </w:numPr>
      </w:pPr>
      <w:r>
        <w:rPr/>
        <w:t xml:space="preserve">Dimensions: 235 mm x 95 mm x 40 mm.</w:t>
      </w:r>
    </w:p>
    <w:p>
      <w:pPr>
        <w:numPr>
          <w:ilvl w:val="0"/>
          <w:numId w:val="3"/>
        </w:numPr>
      </w:pPr>
      <w:r>
        <w:rPr/>
        <w:t xml:space="preserve">individuel rond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1100 lm, Efficacité lumineuse: 92 lm/W.</w:t>
      </w:r>
    </w:p>
    <w:p>
      <w:pPr>
        <w:numPr>
          <w:ilvl w:val="0"/>
          <w:numId w:val="3"/>
        </w:numPr>
      </w:pPr>
      <w:r>
        <w:rPr/>
        <w:t xml:space="preserve">Consommation de courant: 12.0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avec UGR &lt;= 22 conforme à la norme EN 12464-1 pour des exigences visuelles et de concentration modérées.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39ECE5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2025-03-11T10:58:13+01:00</dcterms:created>
  <dcterms:modified xsi:type="dcterms:W3CDTF">2025-03-11T10:58:13+01:00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