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D7R3SBX/W1CHD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lineal con bordes rectos, carcasa negra.</w:t>
      </w:r>
    </w:p>
    <w:p>
      <w:pPr>
        <w:numPr>
          <w:ilvl w:val="0"/>
          <w:numId w:val="3"/>
        </w:numPr>
      </w:pPr>
      <w:r>
        <w:rPr/>
        <w:t xml:space="preserve">LED+LENS™ óptica, elección de cups de oro, bronce, plata o cobre, policarbonato, extensiva media distribución luminosa.</w:t>
      </w:r>
    </w:p>
    <w:p>
      <w:pPr>
        <w:numPr>
          <w:ilvl w:val="0"/>
          <w:numId w:val="3"/>
        </w:numPr>
      </w:pPr>
      <w:r>
        <w:rPr/>
        <w:t xml:space="preserve">3 lentes empotradas en reflectores circulares.</w:t>
      </w:r>
    </w:p>
    <w:p>
      <w:pPr>
        <w:numPr>
          <w:ilvl w:val="0"/>
          <w:numId w:val="3"/>
        </w:numPr>
      </w:pPr>
      <w:r>
        <w:rPr/>
        <w:t xml:space="preserve">Dimensiones: 235 mm x 95 mm x 40 mm.</w:t>
      </w:r>
    </w:p>
    <w:p>
      <w:pPr>
        <w:numPr>
          <w:ilvl w:val="0"/>
          <w:numId w:val="3"/>
        </w:numPr>
      </w:pPr>
      <w:r>
        <w:rPr/>
        <w:t xml:space="preserve">cuadrado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1050 lm, Flujo luminoso específico: 88 lm/W.</w:t>
      </w:r>
    </w:p>
    <w:p>
      <w:pPr>
        <w:numPr>
          <w:ilvl w:val="0"/>
          <w:numId w:val="3"/>
        </w:numPr>
      </w:pPr>
      <w:r>
        <w:rPr/>
        <w:t xml:space="preserve">Consumo de energía: 12.0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19 y luminancias @ 65° 3000 Cd/m² cd/m² conforme a la norma EN 12464-1 para exigencia visual elevada,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RAL9005 - negro.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E.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523CBD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2025-03-11T10:59:33+01:00</dcterms:created>
  <dcterms:modified xsi:type="dcterms:W3CDTF">2025-03-11T10:59:33+01:00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