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D7R9SBX/W3CHD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black housing.</w:t>
      </w:r>
    </w:p>
    <w:p>
      <w:pPr>
        <w:numPr>
          <w:ilvl w:val="0"/>
          <w:numId w:val="3"/>
        </w:numPr>
      </w:pPr>
      <w:r>
        <w:rPr/>
        <w:t xml:space="preserve">Led+lens™ optics, choice of gold, bronze, silver or copper cups, polycarbonate, very wide-angle light distribution.</w:t>
      </w:r>
    </w:p>
    <w:p>
      <w:pPr>
        <w:numPr>
          <w:ilvl w:val="0"/>
          <w:numId w:val="3"/>
        </w:numPr>
      </w:pPr>
      <w:r>
        <w:rPr/>
        <w:t xml:space="preserve">9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655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3150 lm, Luminous efficacy: 96 lm/W.</w:t>
      </w:r>
    </w:p>
    <w:p>
      <w:pPr>
        <w:numPr>
          <w:ilvl w:val="0"/>
          <w:numId w:val="3"/>
        </w:numPr>
      </w:pPr>
      <w:r>
        <w:rPr/>
        <w:t xml:space="preserve">Power: 33.0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93AC67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2025-03-11T10:51:55+01:00</dcterms:created>
  <dcterms:modified xsi:type="dcterms:W3CDTF">2025-03-11T10:51:55+01:00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