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aus Polycarbonat</w:t>
      </w:r>
    </w:p>
    <w:p>
      <w:pPr>
        <w:numPr>
          <w:ilvl w:val="0"/>
          <w:numId w:val="3"/>
        </w:numPr>
      </w:pPr>
      <w:r>
        <w:rPr/>
        <w:t xml:space="preserve">reflektor und Linse Optik, Polycarbonat (PC) Aluminium-bedampft, satiniert, breit strahlend Lichtverteilung.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visible., Plaque de proctection en verre, IP54 par le dessous.</w:t>
      </w:r>
    </w:p>
    <w:p>
      <w:pPr>
        <w:numPr>
          <w:ilvl w:val="0"/>
          <w:numId w:val="3"/>
        </w:numPr>
      </w:pPr>
      <w:r>
        <w:rPr/>
        <w:t xml:space="preserve">Abmessungen: Ø 190 mm x 107 mm.</w:t>
      </w:r>
    </w:p>
    <w:p>
      <w:pPr>
        <w:numPr>
          <w:ilvl w:val="0"/>
          <w:numId w:val="3"/>
        </w:numPr>
      </w:pPr>
      <w:r>
        <w:rPr/>
        <w:t xml:space="preserve">Decke Ausschnitt: Ø 175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eine Linse verhindert Blendung.</w:t>
      </w:r>
    </w:p>
    <w:p>
      <w:pPr>
        <w:numPr>
          <w:ilvl w:val="0"/>
          <w:numId w:val="3"/>
        </w:numPr>
      </w:pPr>
      <w:r>
        <w:rPr/>
        <w:t xml:space="preserve">Lichtstrom: 2000 lm, Spezifischer Lichtstrom: 111 lm/W.</w:t>
      </w:r>
    </w:p>
    <w:p>
      <w:pPr>
        <w:numPr>
          <w:ilvl w:val="0"/>
          <w:numId w:val="3"/>
        </w:numPr>
      </w:pPr>
      <w:r>
        <w:rPr/>
        <w:t xml:space="preserve">Stromverbrauch: 18.1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IK06.</w:t>
      </w:r>
    </w:p>
    <w:p>
      <w:pPr>
        <w:numPr>
          <w:ilvl w:val="0"/>
          <w:numId w:val="3"/>
        </w:numPr>
      </w:pPr>
      <w:r>
        <w:rPr/>
        <w:t xml:space="preserve">Unterseite konform IP: Unterseite konform IP54.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CA7E3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2023-04-01T20:55:22+02:00</dcterms:created>
  <dcterms:modified xsi:type="dcterms:W3CDTF">2023-04-01T20:55:22+02:00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