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seamless em policarbonato</w:t>
      </w:r>
    </w:p>
    <w:p>
      <w:pPr>
        <w:numPr>
          <w:ilvl w:val="0"/>
          <w:numId w:val="3"/>
        </w:numPr>
      </w:pPr>
      <w:r>
        <w:rPr/>
        <w:t xml:space="preserve">reflector e lente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Aro e refletor com acabamento em policarbonato branco, sem costuras visíveis.</w:t>
      </w:r>
    </w:p>
    <w:p>
      <w:pPr>
        <w:numPr>
          <w:ilvl w:val="0"/>
          <w:numId w:val="3"/>
        </w:numPr>
      </w:pPr>
      <w:r>
        <w:rPr/>
        <w:t xml:space="preserve">Dimensões: Ø 190 mm x 100 mm.</w:t>
      </w:r>
    </w:p>
    <w:p>
      <w:pPr>
        <w:numPr>
          <w:ilvl w:val="0"/>
          <w:numId w:val="3"/>
        </w:numPr>
      </w:pPr>
      <w:r>
        <w:rPr/>
        <w:t xml:space="preserve">individual redondo Recorte no teto: Ø 175 mm.</w:t>
      </w:r>
    </w:p>
    <w:p>
      <w:pPr>
        <w:numPr>
          <w:ilvl w:val="0"/>
          <w:numId w:val="3"/>
        </w:numPr>
      </w:pPr>
      <w:r>
        <w:rPr/>
        <w:t xml:space="preserve">O reflector protege a fonte de luz e uma lente evita o encandeamento.</w:t>
      </w:r>
    </w:p>
    <w:p>
      <w:pPr>
        <w:numPr>
          <w:ilvl w:val="0"/>
          <w:numId w:val="3"/>
        </w:numPr>
      </w:pPr>
      <w:r>
        <w:rPr/>
        <w:t xml:space="preserve">Fluxo luminoso: 2450 lm, Fluxo luminoso específico: 153 lm/W.</w:t>
      </w:r>
    </w:p>
    <w:p>
      <w:pPr>
        <w:numPr>
          <w:ilvl w:val="0"/>
          <w:numId w:val="3"/>
        </w:numPr>
      </w:pPr>
      <w:r>
        <w:rPr/>
        <w:t xml:space="preserve">Potência: 16.0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64F5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2025-04-22T11:38:07+02:00</dcterms:created>
  <dcterms:modified xsi:type="dcterms:W3CDTF">2025-04-22T11:38:07+02:00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