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D9B-R312-15-840-025S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de policarbonato</w:t>
      </w:r>
    </w:p>
    <w:p>
      <w:pPr>
        <w:numPr>
          <w:ilvl w:val="0"/>
          <w:numId w:val="3"/>
        </w:numPr>
      </w:pPr>
      <w:r>
        <w:rPr/>
        <w:t xml:space="preserve">reflector y lente óptica, blanco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Aro de policarbonato blanco y reflector forman un solo cuerpo, sin uniones visibles. Cristal IP54 desde abajo. Cristal IP54 desde abajo.</w:t>
      </w:r>
    </w:p>
    <w:p>
      <w:pPr>
        <w:numPr>
          <w:ilvl w:val="0"/>
          <w:numId w:val="3"/>
        </w:numPr>
      </w:pPr>
      <w:r>
        <w:rPr/>
        <w:t xml:space="preserve">Dimensiones: Ø 190 mm x 107 mm.</w:t>
      </w:r>
    </w:p>
    <w:p>
      <w:pPr>
        <w:numPr>
          <w:ilvl w:val="0"/>
          <w:numId w:val="3"/>
        </w:numPr>
      </w:pPr>
      <w:r>
        <w:rPr/>
        <w:t xml:space="preserve">redondo individual Techo cortado: Ø 175 mm.</w:t>
      </w:r>
    </w:p>
    <w:p>
      <w:pPr>
        <w:numPr>
          <w:ilvl w:val="0"/>
          <w:numId w:val="3"/>
        </w:numPr>
      </w:pPr>
      <w:r>
        <w:rPr/>
        <w:t xml:space="preserve">El reflector apantalla la fuente de luz y la lente evita el deslumbramiento.</w:t>
      </w:r>
    </w:p>
    <w:p>
      <w:pPr>
        <w:numPr>
          <w:ilvl w:val="0"/>
          <w:numId w:val="3"/>
        </w:numPr>
      </w:pPr>
      <w:r>
        <w:rPr/>
        <w:t xml:space="preserve">Flujo luminoso: 2450 lm, Flujo luminoso específico: 144 lm/W.</w:t>
      </w:r>
    </w:p>
    <w:p>
      <w:pPr>
        <w:numPr>
          <w:ilvl w:val="0"/>
          <w:numId w:val="3"/>
        </w:numPr>
      </w:pPr>
      <w:r>
        <w:rPr/>
        <w:t xml:space="preserve">Consumo de energía: 17.0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Policarbonato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IP en la parte inferior: IP54 en la parte inferior.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2364E9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2025-04-22T11:39:11+02:00</dcterms:created>
  <dcterms:modified xsi:type="dcterms:W3CDTF">2025-04-22T11:39:11+02:00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