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620 mm x 80 mm x 135 mm.</w:t>
      </w:r>
    </w:p>
    <w:p>
      <w:pPr>
        <w:numPr>
          <w:ilvl w:val="0"/>
          <w:numId w:val="3"/>
        </w:numPr>
      </w:pPr>
      <w:r>
        <w:rPr/>
        <w:t xml:space="preserve">Flujo luminoso: 2900 lm, Flujo luminoso específico: 121 lm/W.</w:t>
      </w:r>
    </w:p>
    <w:p>
      <w:pPr>
        <w:numPr>
          <w:ilvl w:val="0"/>
          <w:numId w:val="3"/>
        </w:numPr>
      </w:pPr>
      <w:r>
        <w:rPr/>
        <w:t xml:space="preserve">Consumo de energía: 24.0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2EAB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2023-06-29T08:42:00+02:00</dcterms:created>
  <dcterms:modified xsi:type="dcterms:W3CDTF">2023-06-29T08:42:00+02:00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