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ATEX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uso em ambientes ATEX, zona 2, zona 21, zona 22 (2014/34 /UE).</w:t>
      </w:r>
    </w:p>
    <w:p>
      <w:pPr>
        <w:numPr>
          <w:ilvl w:val="0"/>
          <w:numId w:val="3"/>
        </w:numPr>
      </w:pPr>
      <w:r>
        <w:rPr/>
        <w:t xml:space="preserve">Dimensões: 870 mm x 80 mm x 135 mm.</w:t>
      </w:r>
    </w:p>
    <w:p>
      <w:pPr>
        <w:numPr>
          <w:ilvl w:val="0"/>
          <w:numId w:val="3"/>
        </w:numPr>
      </w:pPr>
      <w:r>
        <w:rPr/>
        <w:t xml:space="preserve">Fluxo luminoso: 5000 lm, Fluxo luminoso específico: 128 lm/W.</w:t>
      </w:r>
    </w:p>
    <w:p>
      <w:pPr>
        <w:numPr>
          <w:ilvl w:val="0"/>
          <w:numId w:val="3"/>
        </w:numPr>
      </w:pPr>
      <w:r>
        <w:rPr/>
        <w:t xml:space="preserve">Potência: 39.0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5C2F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2023-10-31T09:58:33+01:00</dcterms:created>
  <dcterms:modified xsi:type="dcterms:W3CDTF">2023-10-31T09:58:33+01:00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