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E21/LED3N045DL</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870 mm x 80 mm x 135 mm.</w:t>
      </w:r>
    </w:p>
    <w:p>
      <w:pPr>
        <w:numPr>
          <w:ilvl w:val="0"/>
          <w:numId w:val="3"/>
        </w:numPr>
      </w:pPr>
      <w:r>
        <w:rPr/>
        <w:t xml:space="preserve">Lichtstroom: 4550 lm, Specifieke lichtstroom: 126 lm/W.</w:t>
      </w:r>
    </w:p>
    <w:p>
      <w:pPr>
        <w:numPr>
          <w:ilvl w:val="0"/>
          <w:numId w:val="3"/>
        </w:numPr>
      </w:pPr>
      <w:r>
        <w:rPr/>
        <w:t xml:space="preserve">Opgenomen vermogen: 36.0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9E449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2023-06-29T08:50:48+02:00</dcterms:created>
  <dcterms:modified xsi:type="dcterms:W3CDTF">2023-06-29T08:50:48+02:00</dcterms:modified>
</cp:coreProperties>
</file>

<file path=docProps/custom.xml><?xml version="1.0" encoding="utf-8"?>
<Properties xmlns="http://schemas.openxmlformats.org/officeDocument/2006/custom-properties" xmlns:vt="http://schemas.openxmlformats.org/officeDocument/2006/docPropsVTypes"/>
</file>