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ATEX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Zur Verwendung in ATEX-Umgebungen, Zone 2, Zone 21, Zone 22 (2014/34 / EU).</w:t>
      </w:r>
    </w:p>
    <w:p>
      <w:pPr>
        <w:numPr>
          <w:ilvl w:val="0"/>
          <w:numId w:val="3"/>
        </w:numPr>
      </w:pPr>
      <w:r>
        <w:rPr/>
        <w:t xml:space="preserve">Abmessungen: 870 mm x 80 mm x 135 mm.</w:t>
      </w:r>
    </w:p>
    <w:p>
      <w:pPr>
        <w:numPr>
          <w:ilvl w:val="0"/>
          <w:numId w:val="3"/>
        </w:numPr>
      </w:pPr>
      <w:r>
        <w:rPr/>
        <w:t xml:space="preserve">Lichtstrom: 5000 lm, Spezifischer Lichtstrom: 128 lm/W.</w:t>
      </w:r>
    </w:p>
    <w:p>
      <w:pPr>
        <w:numPr>
          <w:ilvl w:val="0"/>
          <w:numId w:val="3"/>
        </w:numPr>
      </w:pPr>
      <w:r>
        <w:rPr/>
        <w:t xml:space="preserve">Anschlussleistung: 39.0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ATEX Klassifizierung: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ATEX,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18171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2024-04-23T15:43:06+02:00</dcterms:created>
  <dcterms:modified xsi:type="dcterms:W3CDTF">2024-04-23T15:43:06+02:00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