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870 mm x 80 mm x 135 mm.</w:t>
      </w:r>
    </w:p>
    <w:p>
      <w:pPr>
        <w:numPr>
          <w:ilvl w:val="0"/>
          <w:numId w:val="3"/>
        </w:numPr>
      </w:pPr>
      <w:r>
        <w:rPr/>
        <w:t xml:space="preserve">Flujo luminoso: 5000 lm, Flujo luminoso específico: 128 lm/W.</w:t>
      </w:r>
    </w:p>
    <w:p>
      <w:pPr>
        <w:numPr>
          <w:ilvl w:val="0"/>
          <w:numId w:val="3"/>
        </w:numPr>
      </w:pPr>
      <w:r>
        <w:rPr/>
        <w:t xml:space="preserve">Consumo de energía: 39.0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A30D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2024-04-23T15:43:07+02:00</dcterms:created>
  <dcterms:modified xsi:type="dcterms:W3CDTF">2024-04-23T15:43:07+02:00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