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1120 mm x 80 mm x 135 mm.</w:t>
      </w:r>
    </w:p>
    <w:p>
      <w:pPr>
        <w:numPr>
          <w:ilvl w:val="0"/>
          <w:numId w:val="3"/>
        </w:numPr>
      </w:pPr>
      <w:r>
        <w:rPr/>
        <w:t xml:space="preserve">Flux lumineux: 5950 lm, Efficacité lumineuse: 132 lm/W.</w:t>
      </w:r>
    </w:p>
    <w:p>
      <w:pPr>
        <w:numPr>
          <w:ilvl w:val="0"/>
          <w:numId w:val="3"/>
        </w:numPr>
      </w:pPr>
      <w:r>
        <w:rPr/>
        <w:t xml:space="preserve">Consommation de courant: 45.0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d'ambiance:-25°C à 35°C (Optionnel: -35°C à 60°C)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4D5EF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2023-06-29T08:43:27+02:00</dcterms:created>
  <dcterms:modified xsi:type="dcterms:W3CDTF">2023-06-29T08:43:27+02:00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