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E21/LED5N075S-ATEX1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 ATEX</w:t>
      </w:r>
    </w:p>
    <w:p>
      <w:pPr>
        <w:numPr>
          <w:ilvl w:val="0"/>
          <w:numId w:val="3"/>
        </w:numPr>
      </w:pPr>
      <w:r>
        <w:rPr/>
        <w:t xml:space="preserve">Lentille linéaire , optique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Pour environnements ATEX, zone 2, zone 21, zone 22 (2014/34/EU).</w:t>
      </w:r>
    </w:p>
    <w:p>
      <w:pPr>
        <w:numPr>
          <w:ilvl w:val="0"/>
          <w:numId w:val="3"/>
        </w:numPr>
      </w:pPr>
      <w:r>
        <w:rPr/>
        <w:t xml:space="preserve">Dimensions: 1370 mm x 80 mm x 135 mm.</w:t>
      </w:r>
    </w:p>
    <w:p>
      <w:pPr>
        <w:numPr>
          <w:ilvl w:val="0"/>
          <w:numId w:val="3"/>
        </w:numPr>
      </w:pPr>
      <w:r>
        <w:rPr/>
        <w:t xml:space="preserve">Flux lumineux: 8300 lm, Efficacité lumineuse: 132 lm/W.</w:t>
      </w:r>
    </w:p>
    <w:p>
      <w:pPr>
        <w:numPr>
          <w:ilvl w:val="0"/>
          <w:numId w:val="3"/>
        </w:numPr>
      </w:pPr>
      <w:r>
        <w:rPr/>
        <w:t xml:space="preserve">Consommation de courant: 63.0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Source lumineuse non remplaçable.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d'ambiance:-20°C - 40°C</w:t>
      </w:r>
    </w:p>
    <w:p>
      <w:pPr>
        <w:numPr>
          <w:ilvl w:val="0"/>
          <w:numId w:val="3"/>
        </w:numPr>
      </w:pPr>
      <w:r>
        <w:rPr/>
        <w:t xml:space="preserve">Classification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8E4AB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2025-03-11T14:14:08+01:00</dcterms:created>
  <dcterms:modified xsi:type="dcterms:W3CDTF">2025-03-11T14:14:08+01:00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