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1620 mm x 80 mm x 135 mm.</w:t>
      </w:r>
    </w:p>
    <w:p>
      <w:pPr>
        <w:numPr>
          <w:ilvl w:val="0"/>
          <w:numId w:val="3"/>
        </w:numPr>
      </w:pPr>
      <w:r>
        <w:rPr/>
        <w:t xml:space="preserve">Fluxo luminoso: 8900 lm, Fluxo luminoso específico: 131 lm/W.</w:t>
      </w:r>
    </w:p>
    <w:p>
      <w:pPr>
        <w:numPr>
          <w:ilvl w:val="0"/>
          <w:numId w:val="3"/>
        </w:numPr>
      </w:pPr>
      <w:r>
        <w:rPr/>
        <w:t xml:space="preserve">Potência: 68.0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CF9C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2023-06-29T08:43:01+02:00</dcterms:created>
  <dcterms:modified xsi:type="dcterms:W3CDTF">2023-06-29T08:43:01+02:00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