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1620 mm x 80 mm x 135 mm.</w:t>
      </w:r>
    </w:p>
    <w:p>
      <w:pPr>
        <w:numPr>
          <w:ilvl w:val="0"/>
          <w:numId w:val="3"/>
        </w:numPr>
      </w:pPr>
      <w:r>
        <w:rPr/>
        <w:t xml:space="preserve">Flux lumineux: 9950 lm, Efficacité lumineuse: 133 lm/W.</w:t>
      </w:r>
    </w:p>
    <w:p>
      <w:pPr>
        <w:numPr>
          <w:ilvl w:val="0"/>
          <w:numId w:val="3"/>
        </w:numPr>
      </w:pPr>
      <w:r>
        <w:rPr/>
        <w:t xml:space="preserve">Consommation de courant: 75.0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F20F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2024-04-23T15:42:20+02:00</dcterms:created>
  <dcterms:modified xsi:type="dcterms:W3CDTF">2024-04-23T15:42:20+02:00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