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1620 mm x 80 mm x 135 mm.</w:t>
      </w:r>
    </w:p>
    <w:p>
      <w:pPr>
        <w:numPr>
          <w:ilvl w:val="0"/>
          <w:numId w:val="3"/>
        </w:numPr>
      </w:pPr>
      <w:r>
        <w:rPr/>
        <w:t xml:space="preserve">Lichtstroom: 9950 lm, Specifieke lichtstroom: 129 lm/W.</w:t>
      </w:r>
    </w:p>
    <w:p>
      <w:pPr>
        <w:numPr>
          <w:ilvl w:val="0"/>
          <w:numId w:val="3"/>
        </w:numPr>
      </w:pPr>
      <w:r>
        <w:rPr/>
        <w:t xml:space="preserve">Opgenomen vermogen: 77.0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96%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D1AA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2023-06-29T08:43:18+02:00</dcterms:created>
  <dcterms:modified xsi:type="dcterms:W3CDTF">2023-06-29T08:43:18+02:00</dcterms:modified>
</cp:coreProperties>
</file>

<file path=docProps/custom.xml><?xml version="1.0" encoding="utf-8"?>
<Properties xmlns="http://schemas.openxmlformats.org/officeDocument/2006/custom-properties" xmlns:vt="http://schemas.openxmlformats.org/officeDocument/2006/docPropsVTypes"/>
</file>