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E22/LED2N030D</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620 mm x 80 mm x 135 mm.</w:t>
      </w:r>
    </w:p>
    <w:p>
      <w:pPr>
        <w:numPr>
          <w:ilvl w:val="0"/>
          <w:numId w:val="3"/>
        </w:numPr>
      </w:pPr>
      <w:r>
        <w:rPr/>
        <w:t xml:space="preserve">Luminous flux: 2900 lm, Luminous efficacy: 121 lm/W.</w:t>
      </w:r>
    </w:p>
    <w:p>
      <w:pPr>
        <w:numPr>
          <w:ilvl w:val="0"/>
          <w:numId w:val="3"/>
        </w:numPr>
      </w:pPr>
      <w:r>
        <w:rPr/>
        <w:t xml:space="preserve">Power: 24.0 W, DALI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97%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from -25°C to 35°C.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FBBFB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2023-06-29T08:43:34+02:00</dcterms:created>
  <dcterms:modified xsi:type="dcterms:W3CDTF">2023-06-29T08:43:34+02:00</dcterms:modified>
</cp:coreProperties>
</file>

<file path=docProps/custom.xml><?xml version="1.0" encoding="utf-8"?>
<Properties xmlns="http://schemas.openxmlformats.org/officeDocument/2006/custom-properties" xmlns:vt="http://schemas.openxmlformats.org/officeDocument/2006/docPropsVTypes"/>
</file>