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E22/LED2N030D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Pour environnements difficiles. Utilisation en environnements corrosifs (catégorie C1 à C4 selon EN ISO 12944) avec étriers traitement électrochimique et polissage. Conforme aux tess EN 60068-2-60, gazs corrosifs.</w:t>
      </w:r>
    </w:p>
    <w:p>
      <w:pPr>
        <w:numPr>
          <w:ilvl w:val="0"/>
          <w:numId w:val="3"/>
        </w:numPr>
      </w:pPr>
      <w:r>
        <w:rPr/>
        <w:t xml:space="preserve">Dimensions: 620 mm x 80 mm x 135 mm.</w:t>
      </w:r>
    </w:p>
    <w:p>
      <w:pPr>
        <w:numPr>
          <w:ilvl w:val="0"/>
          <w:numId w:val="3"/>
        </w:numPr>
      </w:pPr>
      <w:r>
        <w:rPr/>
        <w:t xml:space="preserve">Flux lumineux: 2900 lm, Efficacité lumineuse: 121 lm/W.</w:t>
      </w:r>
    </w:p>
    <w:p>
      <w:pPr>
        <w:numPr>
          <w:ilvl w:val="0"/>
          <w:numId w:val="3"/>
        </w:numPr>
      </w:pPr>
      <w:r>
        <w:rPr/>
        <w:t xml:space="preserve">Consommation de courant: 24.0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Température d'ambiance:de -25°C à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FB1D8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2023-06-29T08:43:33+02:00</dcterms:created>
  <dcterms:modified xsi:type="dcterms:W3CDTF">2023-06-29T08:43:33+02:00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