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ATEX Leuchte</w:t>
      </w:r>
    </w:p>
    <w:p>
      <w:pPr>
        <w:numPr>
          <w:ilvl w:val="0"/>
          <w:numId w:val="3"/>
        </w:numPr>
      </w:pPr>
      <w:r>
        <w:rPr/>
        <w:t xml:space="preserve">lineare Linse Optik, Polycarbonat (PC), breit strahlend Lichtverteilung.</w:t>
      </w:r>
    </w:p>
    <w:p>
      <w:pPr>
        <w:numPr>
          <w:ilvl w:val="0"/>
          <w:numId w:val="3"/>
        </w:numPr>
      </w:pPr>
      <w:r>
        <w:rPr/>
        <w:t xml:space="preserve">Zur Verwendung in ATEX-Umgebungen, Zone 2, Zone 21, Zone 22 (2014/34 / EU).</w:t>
      </w:r>
    </w:p>
    <w:p>
      <w:pPr>
        <w:numPr>
          <w:ilvl w:val="0"/>
          <w:numId w:val="3"/>
        </w:numPr>
      </w:pPr>
      <w:r>
        <w:rPr/>
        <w:t xml:space="preserve">Abmessungen: 1120 mm x 80 mm x 135 mm.</w:t>
      </w:r>
    </w:p>
    <w:p>
      <w:pPr>
        <w:numPr>
          <w:ilvl w:val="0"/>
          <w:numId w:val="3"/>
        </w:numPr>
      </w:pPr>
      <w:r>
        <w:rPr/>
        <w:t xml:space="preserve">Lichtstrom: 6650 lm, Spezifischer Lichtstrom: 130 lm/W.</w:t>
      </w:r>
    </w:p>
    <w:p>
      <w:pPr>
        <w:numPr>
          <w:ilvl w:val="0"/>
          <w:numId w:val="3"/>
        </w:numPr>
      </w:pPr>
      <w:r>
        <w:rPr/>
        <w:t xml:space="preserve">Anschlussleistung: 51.0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96%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Unterseite konform IP: IP69K.</w:t>
      </w:r>
    </w:p>
    <w:p>
      <w:pPr>
        <w:numPr>
          <w:ilvl w:val="0"/>
          <w:numId w:val="3"/>
        </w:numPr>
      </w:pPr>
      <w:r>
        <w:rPr/>
        <w:t xml:space="preserve">ATEX Klassifizierung: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ATEX,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637B6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2024-04-23T15:41:41+02:00</dcterms:created>
  <dcterms:modified xsi:type="dcterms:W3CDTF">2024-04-23T15:41:41+02:00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