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ATEX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För explosiva miljöer. ATEX zon 2 samt zon 21 och 22 (2014/34/EU).</w:t>
      </w:r>
    </w:p>
    <w:p>
      <w:pPr>
        <w:numPr>
          <w:ilvl w:val="0"/>
          <w:numId w:val="3"/>
        </w:numPr>
      </w:pPr>
      <w:r>
        <w:rPr/>
        <w:t xml:space="preserve">Dimensioner: 1120 mm x 80 mm x 135 mm.</w:t>
      </w:r>
    </w:p>
    <w:p>
      <w:pPr>
        <w:numPr>
          <w:ilvl w:val="0"/>
          <w:numId w:val="3"/>
        </w:numPr>
      </w:pPr>
      <w:r>
        <w:rPr/>
        <w:t xml:space="preserve">Ljusflöde: 6650 lm, Specifikt ljusutbyte: 130 lm/W.</w:t>
      </w:r>
    </w:p>
    <w:p>
      <w:pPr>
        <w:numPr>
          <w:ilvl w:val="0"/>
          <w:numId w:val="3"/>
        </w:numPr>
      </w:pPr>
      <w:r>
        <w:rPr/>
        <w:t xml:space="preserve">Energiförbrukning: 51.0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Icke utbytbar ljuskälla. Utbytbara styrdon av en fackman.</w:t>
      </w:r>
    </w:p>
    <w:p>
      <w:pPr>
        <w:numPr>
          <w:ilvl w:val="0"/>
          <w:numId w:val="3"/>
        </w:numPr>
      </w:pPr>
      <w:r>
        <w:rPr/>
        <w:t xml:space="preserve">ATEX klassning: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ATEX,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5E9CF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2024-04-23T15:43:04+02:00</dcterms:created>
  <dcterms:modified xsi:type="dcterms:W3CDTF">2024-04-23T15:43:04+02:00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