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E22/LED4N060S-ATEX1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Industrielle staub- und wasserdichte ATEX Leuchte</w:t>
      </w:r>
    </w:p>
    <w:p>
      <w:pPr>
        <w:numPr>
          <w:ilvl w:val="0"/>
          <w:numId w:val="3"/>
        </w:numPr>
      </w:pPr>
      <w:r>
        <w:rPr/>
        <w:t xml:space="preserve">lineare Linse Optik, Polycarbonat (PC), breit strahlend Lichtverteilung.</w:t>
      </w:r>
    </w:p>
    <w:p>
      <w:pPr>
        <w:numPr>
          <w:ilvl w:val="0"/>
          <w:numId w:val="3"/>
        </w:numPr>
      </w:pPr>
      <w:r>
        <w:rPr/>
        <w:t xml:space="preserve">Zur Verwendung in ATEX-Umgebungen, Zone 2, Zone 21, Zone 22 (2014/34 / EU).</w:t>
      </w:r>
    </w:p>
    <w:p>
      <w:pPr>
        <w:numPr>
          <w:ilvl w:val="0"/>
          <w:numId w:val="3"/>
        </w:numPr>
      </w:pPr>
      <w:r>
        <w:rPr/>
        <w:t xml:space="preserve">Abmessungen: 1120 mm x 80 mm x 135 mm.</w:t>
      </w:r>
    </w:p>
    <w:p>
      <w:pPr>
        <w:numPr>
          <w:ilvl w:val="0"/>
          <w:numId w:val="3"/>
        </w:numPr>
      </w:pPr>
      <w:r>
        <w:rPr/>
        <w:t xml:space="preserve">Lichtstrom: 6650 lm, Spezifischer Lichtstrom: 130 lm/W.</w:t>
      </w:r>
    </w:p>
    <w:p>
      <w:pPr>
        <w:numPr>
          <w:ilvl w:val="0"/>
          <w:numId w:val="3"/>
        </w:numPr>
      </w:pPr>
      <w:r>
        <w:rPr/>
        <w:t xml:space="preserve">Anschlussleistung: 51.0 W, nicht dimmbar.</w:t>
      </w:r>
    </w:p>
    <w:p>
      <w:pPr>
        <w:numPr>
          <w:ilvl w:val="0"/>
          <w:numId w:val="3"/>
        </w:numPr>
      </w:pPr>
      <w:r>
        <w:rPr/>
        <w:t xml:space="preserve">Frequenz: 50-60Hz AC.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96% ihres ursprünglichen Lichtstroms.</w:t>
      </w:r>
    </w:p>
    <w:p>
      <w:pPr>
        <w:numPr>
          <w:ilvl w:val="0"/>
          <w:numId w:val="3"/>
        </w:numPr>
      </w:pPr>
      <w:r>
        <w:rPr/>
        <w:t xml:space="preserve">Lichtfarbe: 4000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Lackiertes aluminium Gehäuse, RAL7035 - Lichtgrau.</w:t>
      </w:r>
    </w:p>
    <w:p>
      <w:pPr>
        <w:numPr>
          <w:ilvl w:val="0"/>
          <w:numId w:val="3"/>
        </w:numPr>
      </w:pPr>
      <w:r>
        <w:rPr/>
        <w:t xml:space="preserve">IP-Schutzart: IP66.</w:t>
      </w:r>
    </w:p>
    <w:p>
      <w:pPr>
        <w:numPr>
          <w:ilvl w:val="0"/>
          <w:numId w:val="3"/>
        </w:numPr>
      </w:pPr>
      <w:r>
        <w:rPr/>
        <w:t xml:space="preserve">Unterseite konform IP: IP69K.</w:t>
      </w:r>
    </w:p>
    <w:p>
      <w:pPr>
        <w:numPr>
          <w:ilvl w:val="0"/>
          <w:numId w:val="3"/>
        </w:numPr>
      </w:pPr>
      <w:r>
        <w:rPr/>
        <w:t xml:space="preserve">ATEX Klassifizierung: II 2D Ex tb IIIC T80°C Db, II 3G Ex ec IIC T4 Gc.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ATEX,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4579F2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2024-04-23T15:42:23+02:00</dcterms:created>
  <dcterms:modified xsi:type="dcterms:W3CDTF">2024-04-23T15:42:23+02:00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