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E22/LED5N075D-ATEX1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1370 mm x 80 mm x 135 mm.</w:t>
      </w:r>
    </w:p>
    <w:p>
      <w:pPr>
        <w:numPr>
          <w:ilvl w:val="0"/>
          <w:numId w:val="3"/>
        </w:numPr>
      </w:pPr>
      <w:r>
        <w:rPr/>
        <w:t xml:space="preserve">Flux lumineux: 8300 lm, Efficacité lumineuse: 132 lm/W.</w:t>
      </w:r>
    </w:p>
    <w:p>
      <w:pPr>
        <w:numPr>
          <w:ilvl w:val="0"/>
          <w:numId w:val="3"/>
        </w:numPr>
      </w:pPr>
      <w:r>
        <w:rPr/>
        <w:t xml:space="preserve">Consommation de courant: 63.0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B8D1C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2024-04-23T15:42:02+02:00</dcterms:created>
  <dcterms:modified xsi:type="dcterms:W3CDTF">2024-04-23T15:42:02+02:00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