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620 mm x 80 mm x 135 mm.</w:t>
      </w:r>
    </w:p>
    <w:p>
      <w:pPr>
        <w:numPr>
          <w:ilvl w:val="0"/>
          <w:numId w:val="3"/>
        </w:numPr>
      </w:pPr>
      <w:r>
        <w:rPr/>
        <w:t xml:space="preserve">Flux lumineux: 3300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2B06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2025-03-11T14:14:35+01:00</dcterms:created>
  <dcterms:modified xsi:type="dcterms:W3CDTF">2025-03-11T14:14:35+01:00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