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E24/LED4N060S-ATEX1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ATEX industriarmatur</w:t>
      </w:r>
    </w:p>
    <w:p>
      <w:pPr>
        <w:numPr>
          <w:ilvl w:val="0"/>
          <w:numId w:val="3"/>
        </w:numPr>
      </w:pPr>
      <w:r>
        <w:rPr/>
        <w:t xml:space="preserve">linjär lins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För explosiva miljöer. ATEX zon 2 samt zon 21 och 22 (2014/34/EU).</w:t>
      </w:r>
    </w:p>
    <w:p>
      <w:pPr>
        <w:numPr>
          <w:ilvl w:val="0"/>
          <w:numId w:val="3"/>
        </w:numPr>
      </w:pPr>
      <w:r>
        <w:rPr/>
        <w:t xml:space="preserve">Dimensioner: 1120 mm x 80 mm x 135 mm.</w:t>
      </w:r>
    </w:p>
    <w:p>
      <w:pPr>
        <w:numPr>
          <w:ilvl w:val="0"/>
          <w:numId w:val="3"/>
        </w:numPr>
      </w:pPr>
      <w:r>
        <w:rPr/>
        <w:t xml:space="preserve">Ljusflöde: 6550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51.0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560B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2025-03-11T14:15:43+01:00</dcterms:created>
  <dcterms:modified xsi:type="dcterms:W3CDTF">2025-03-11T14:15:43+01:00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