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1620 mm x 80 mm x 135 mm.</w:t>
      </w:r>
    </w:p>
    <w:p>
      <w:pPr>
        <w:numPr>
          <w:ilvl w:val="0"/>
          <w:numId w:val="3"/>
        </w:numPr>
      </w:pPr>
      <w:r>
        <w:rPr/>
        <w:t xml:space="preserve">Lichtstroom: 9850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75.0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ECF0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