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4300 lm, Flujo luminoso específico: 123 lm/W.</w:t>
      </w:r>
    </w:p>
    <w:p>
      <w:pPr>
        <w:numPr>
          <w:ilvl w:val="0"/>
          <w:numId w:val="3"/>
        </w:numPr>
      </w:pPr>
      <w:r>
        <w:rPr/>
        <w:t xml:space="preserve">Consumo de energía: 35.0 W, DALI regulable, con sensor de luz natural ELS.</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C01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2022-11-08T09:14:39+01:00</dcterms:created>
  <dcterms:modified xsi:type="dcterms:W3CDTF">2022-11-08T09:14:39+01:00</dcterms:modified>
</cp:coreProperties>
</file>

<file path=docProps/custom.xml><?xml version="1.0" encoding="utf-8"?>
<Properties xmlns="http://schemas.openxmlformats.org/officeDocument/2006/custom-properties" xmlns:vt="http://schemas.openxmlformats.org/officeDocument/2006/docPropsVTypes"/>
</file>