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4500 lm, Efficacité lumineuse: 115 lm/W.</w:t>
      </w:r>
    </w:p>
    <w:p>
      <w:pPr>
        <w:numPr>
          <w:ilvl w:val="0"/>
          <w:numId w:val="3"/>
        </w:numPr>
      </w:pPr>
      <w:r>
        <w:rPr/>
        <w:t xml:space="preserve">Consommation de courant: 39.0 W, Driver DALI contrôlé par un capteur intégré.</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A4BD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2023-04-01T22:35:59+02:00</dcterms:created>
  <dcterms:modified xsi:type="dcterms:W3CDTF">2023-04-01T22:35:59+02:00</dcterms:modified>
</cp:coreProperties>
</file>

<file path=docProps/custom.xml><?xml version="1.0" encoding="utf-8"?>
<Properties xmlns="http://schemas.openxmlformats.org/officeDocument/2006/custom-properties" xmlns:vt="http://schemas.openxmlformats.org/officeDocument/2006/docPropsVTypes"/>
</file>