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1548 mm x 60 mm x 100 mm.</w:t>
      </w:r>
    </w:p>
    <w:p>
      <w:pPr>
        <w:numPr>
          <w:ilvl w:val="0"/>
          <w:numId w:val="3"/>
        </w:numPr>
      </w:pPr>
      <w:r>
        <w:rPr/>
        <w:t xml:space="preserve">Flujo luminoso: 4300 lm, Flujo luminoso específico: 123 lm/W.</w:t>
      </w:r>
    </w:p>
    <w:p>
      <w:pPr>
        <w:numPr>
          <w:ilvl w:val="0"/>
          <w:numId w:val="3"/>
        </w:numPr>
      </w:pPr>
      <w:r>
        <w:rPr/>
        <w:t xml:space="preserve">Consumo de energía: 35.0 W</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BF74B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2024-04-29T13:38:18+02:00</dcterms:created>
  <dcterms:modified xsi:type="dcterms:W3CDTF">2024-04-29T13:38:18+02:00</dcterms:modified>
</cp:coreProperties>
</file>

<file path=docProps/custom.xml><?xml version="1.0" encoding="utf-8"?>
<Properties xmlns="http://schemas.openxmlformats.org/officeDocument/2006/custom-properties" xmlns:vt="http://schemas.openxmlformats.org/officeDocument/2006/docPropsVTypes"/>
</file>