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E3M002/LEDN040DE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E3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1558 mm x 60 mm x 100 mm.</w:t>
      </w:r>
    </w:p>
    <w:p>
      <w:pPr>
        <w:numPr>
          <w:ilvl w:val="0"/>
          <w:numId w:val="3"/>
        </w:numPr>
      </w:pPr>
      <w:r>
        <w:rPr/>
        <w:t xml:space="preserve">Luminous flux: 4300 lm, Luminous efficacy: 123 lm/W.</w:t>
      </w:r>
    </w:p>
    <w:p>
      <w:pPr>
        <w:numPr>
          <w:ilvl w:val="0"/>
          <w:numId w:val="3"/>
        </w:numPr>
      </w:pPr>
      <w:r>
        <w:rPr/>
        <w:t xml:space="preserve">Power: 35.0 W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, Colour rendering ra: 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IK02.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4285E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2024-04-29T13:49:56+02:00</dcterms:created>
  <dcterms:modified xsi:type="dcterms:W3CDTF">2024-04-29T13:49:56+02:00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