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E3M002/LEDN040DE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</w:t>
      </w:r>
    </w:p>
    <w:p>
      <w:pPr>
        <w:numPr>
          <w:ilvl w:val="0"/>
          <w:numId w:val="3"/>
        </w:numPr>
      </w:pPr>
      <w:r>
        <w:rPr/>
        <w:t xml:space="preserve">DUAL●LENS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Módulo para montagem em perfil base. Perfil base em aço robusto e rígido de 0,8 mm. Módulo em alumínio lacado. Montagem do módulo na base sem necessidade de ferramentas. Adequado para remodelação de sistemas fluorescentes ETAP E3. Ligação elétrica à base com ficha seletora de fase.</w:t>
      </w:r>
    </w:p>
    <w:p>
      <w:pPr>
        <w:numPr>
          <w:ilvl w:val="0"/>
          <w:numId w:val="3"/>
        </w:numPr>
      </w:pPr>
      <w:r>
        <w:rPr/>
        <w:t xml:space="preserve">Dimensões: 1558 mm x 60 mm x 100 mm.</w:t>
      </w:r>
    </w:p>
    <w:p>
      <w:pPr>
        <w:numPr>
          <w:ilvl w:val="0"/>
          <w:numId w:val="3"/>
        </w:numPr>
      </w:pPr>
      <w:r>
        <w:rPr/>
        <w:t xml:space="preserve">Fluxo luminoso: 4300 lm, Fluxo luminoso específico: 123 lm/W.</w:t>
      </w:r>
    </w:p>
    <w:p>
      <w:pPr>
        <w:numPr>
          <w:ilvl w:val="0"/>
          <w:numId w:val="3"/>
        </w:numPr>
      </w:pPr>
      <w:r>
        <w:rPr/>
        <w:t xml:space="preserve">Potência: 35.0 W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, Restituição de cor ra: 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com UGR &lt;= 22 conforme norma EN 12464-1 para exigências visuais moderadas e de concentração.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IK02.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FD9B8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2024-04-29T13:49:55+02:00</dcterms:created>
  <dcterms:modified xsi:type="dcterms:W3CDTF">2024-04-29T13:49:55+02:00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