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8550 lm, Flujo luminoso específico: 126 lm/W.</w:t>
      </w:r>
    </w:p>
    <w:p>
      <w:pPr>
        <w:numPr>
          <w:ilvl w:val="0"/>
          <w:numId w:val="3"/>
        </w:numPr>
      </w:pPr>
      <w:r>
        <w:rPr/>
        <w:t xml:space="preserve">Consumo de energía: 68.0 W, Controlador DALI controlado por sensor integrado.</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96%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2564A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2023-04-01T22:38:04+02:00</dcterms:created>
  <dcterms:modified xsi:type="dcterms:W3CDTF">2023-04-01T22:38:04+02:00</dcterms:modified>
</cp:coreProperties>
</file>

<file path=docProps/custom.xml><?xml version="1.0" encoding="utf-8"?>
<Properties xmlns="http://schemas.openxmlformats.org/officeDocument/2006/custom-properties" xmlns:vt="http://schemas.openxmlformats.org/officeDocument/2006/docPropsVTypes"/>
</file>