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1568 mm x 60 mm x 100 mm.</w:t>
      </w:r>
    </w:p>
    <w:p>
      <w:pPr>
        <w:numPr>
          <w:ilvl w:val="0"/>
          <w:numId w:val="3"/>
        </w:numPr>
      </w:pPr>
      <w:r>
        <w:rPr/>
        <w:t xml:space="preserve">Lichtstrom: 8700 lm, Spezifischer Lichtstrom: 124 lm/W.</w:t>
      </w:r>
    </w:p>
    <w:p>
      <w:pPr>
        <w:numPr>
          <w:ilvl w:val="0"/>
          <w:numId w:val="3"/>
        </w:numPr>
      </w:pPr>
      <w:r>
        <w:rPr/>
        <w:t xml:space="preserve">Anschlussleistung: 70.0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96%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25 entsprechend der Norm EN 12464-1 für geringe Anforderungen an visuelle Wahrnehmung und Konzentration, häufige Bewegung.</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2E683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2024-04-29T13:37:58+02:00</dcterms:created>
  <dcterms:modified xsi:type="dcterms:W3CDTF">2024-04-29T13:37:58+02:00</dcterms:modified>
</cp:coreProperties>
</file>

<file path=docProps/custom.xml><?xml version="1.0" encoding="utf-8"?>
<Properties xmlns="http://schemas.openxmlformats.org/officeDocument/2006/custom-properties" xmlns:vt="http://schemas.openxmlformats.org/officeDocument/2006/docPropsVTypes"/>
</file>