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1000 mm x 60 mm x 135 mm.</w:t>
      </w:r>
    </w:p>
    <w:p>
      <w:pPr>
        <w:numPr>
          <w:ilvl w:val="0"/>
          <w:numId w:val="3"/>
        </w:numPr>
      </w:pPr>
      <w:r>
        <w:rPr/>
        <w:t xml:space="preserve">Flujo luminoso: 3100 lm, Flujo luminoso específico: 124 lm/W.</w:t>
      </w:r>
    </w:p>
    <w:p>
      <w:pPr>
        <w:numPr>
          <w:ilvl w:val="0"/>
          <w:numId w:val="3"/>
        </w:numPr>
      </w:pPr>
      <w:r>
        <w:rPr/>
        <w:t xml:space="preserve">Consumo de energía: 25.0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BD16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2023-04-01T22:56:53+02:00</dcterms:created>
  <dcterms:modified xsi:type="dcterms:W3CDTF">2023-04-01T22:56:53+02:00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