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with sleek design.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Dimensions: 2000 mm x 60 mm x 135 mm.</w:t>
      </w:r>
    </w:p>
    <w:p>
      <w:pPr>
        <w:numPr>
          <w:ilvl w:val="0"/>
          <w:numId w:val="3"/>
        </w:numPr>
      </w:pPr>
      <w:r>
        <w:rPr/>
        <w:t xml:space="preserve">Luminous flux: 4800 lm, Luminous efficacy: 133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17B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2023-04-01T22:57:25+02:00</dcterms:created>
  <dcterms:modified xsi:type="dcterms:W3CDTF">2023-04-01T22:57:25+02:00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