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E4001/LED2N060S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lijnarmatuur met een slanke vormgeving.</w:t>
      </w:r>
    </w:p>
    <w:p>
      <w:pPr>
        <w:numPr>
          <w:ilvl w:val="0"/>
          <w:numId w:val="3"/>
        </w:numPr>
      </w:pPr>
      <w:r>
        <w:rPr/>
        <w:t xml:space="preserve">DUAL●LENS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Afmetingen: 2000 mm x 60 mm x 135 mm.</w:t>
      </w:r>
    </w:p>
    <w:p>
      <w:pPr>
        <w:numPr>
          <w:ilvl w:val="0"/>
          <w:numId w:val="3"/>
        </w:numPr>
      </w:pPr>
      <w:r>
        <w:rPr/>
        <w:t xml:space="preserve">Lichtstroom: 6200 lm, Specifieke lichtstroom: 127 lm/W.</w:t>
      </w:r>
    </w:p>
    <w:p>
      <w:pPr>
        <w:numPr>
          <w:ilvl w:val="0"/>
          <w:numId w:val="3"/>
        </w:numPr>
      </w:pPr>
      <w:r>
        <w:rPr/>
        <w:t xml:space="preserve">Opgenomen vermogen: 49.0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DUAL●LENS™ met UGR &lt;= 22 conform norm EN 12464-1 voor matige visuele en concentratie-eisen.</w:t>
      </w:r>
    </w:p>
    <w:p>
      <w:pPr>
        <w:numPr>
          <w:ilvl w:val="0"/>
          <w:numId w:val="3"/>
        </w:numPr>
      </w:pPr>
      <w:r>
        <w:rPr/>
        <w:t xml:space="preserve">Gelakt aluminium behuizing, RAL9016 - verkeerswit (structuurlak).</w:t>
      </w:r>
    </w:p>
    <w:p>
      <w:pPr>
        <w:numPr>
          <w:ilvl w:val="0"/>
          <w:numId w:val="3"/>
        </w:numPr>
      </w:pPr>
      <w:r>
        <w:rPr/>
        <w:t xml:space="preserve">IP-graad: IP40.</w:t>
      </w:r>
    </w:p>
    <w:p>
      <w:pPr>
        <w:numPr>
          <w:ilvl w:val="0"/>
          <w:numId w:val="3"/>
        </w:numPr>
      </w:pPr>
      <w:r>
        <w:rPr/>
        <w:t xml:space="preserve">IK-graad: IK06.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D81A2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2023-04-01T22:57:35+02:00</dcterms:created>
  <dcterms:modified xsi:type="dcterms:W3CDTF">2023-04-01T22:57:35+02:00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