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 com design elegante.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Dimensões: 2000 mm x 60 mm x 135 mm.</w:t>
      </w:r>
    </w:p>
    <w:p>
      <w:pPr>
        <w:numPr>
          <w:ilvl w:val="0"/>
          <w:numId w:val="3"/>
        </w:numPr>
      </w:pPr>
      <w:r>
        <w:rPr/>
        <w:t xml:space="preserve">Fluxo luminoso: 4800 lm, Fluxo luminoso específico: 120 lm/W.</w:t>
      </w:r>
    </w:p>
    <w:p>
      <w:pPr>
        <w:numPr>
          <w:ilvl w:val="0"/>
          <w:numId w:val="3"/>
        </w:numPr>
      </w:pPr>
      <w:r>
        <w:rPr/>
        <w:t xml:space="preserve">Potência: 40.0 W, DALI driver controlado por sensor integrado.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B38D7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2023-04-01T22:57:44+02:00</dcterms:created>
  <dcterms:modified xsi:type="dcterms:W3CDTF">2023-04-01T22:57:44+02:00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