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E4001/LED2W040S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smalstrålande ljusfördelning.</w:t>
      </w:r>
    </w:p>
    <w:p>
      <w:pPr>
        <w:numPr>
          <w:ilvl w:val="0"/>
          <w:numId w:val="3"/>
        </w:numPr>
      </w:pPr>
      <w:r>
        <w:rPr/>
        <w:t xml:space="preserve">Dimensioner: 2000 mm x 60 mm x 135 mm.</w:t>
      </w:r>
    </w:p>
    <w:p>
      <w:pPr>
        <w:numPr>
          <w:ilvl w:val="0"/>
          <w:numId w:val="3"/>
        </w:numPr>
      </w:pPr>
      <w:r>
        <w:rPr/>
        <w:t xml:space="preserve">Ljusflöde: 4800 lm, Specifikt ljusutbyte: 126 lm/W.</w:t>
      </w:r>
    </w:p>
    <w:p>
      <w:pPr>
        <w:numPr>
          <w:ilvl w:val="0"/>
          <w:numId w:val="3"/>
        </w:numPr>
      </w:pPr>
      <w:r>
        <w:rPr/>
        <w:t xml:space="preserve">Energiförbrukning: 38.0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D9959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2025-03-01T19:24:32+01:00</dcterms:created>
  <dcterms:modified xsi:type="dcterms:W3CDTF">2025-03-01T19:24:32+01:00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