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4000 mm x 60 mm x 135 mm.</w:t>
      </w:r>
    </w:p>
    <w:p>
      <w:pPr>
        <w:numPr>
          <w:ilvl w:val="0"/>
          <w:numId w:val="3"/>
        </w:numPr>
      </w:pPr>
      <w:r>
        <w:rPr/>
        <w:t xml:space="preserve">Lichtstrom: 9650 lm, Spezifischer Lichtstrom: 129 lm/W.</w:t>
      </w:r>
    </w:p>
    <w:p>
      <w:pPr>
        <w:numPr>
          <w:ilvl w:val="0"/>
          <w:numId w:val="3"/>
        </w:numPr>
      </w:pPr>
      <w:r>
        <w:rPr/>
        <w:t xml:space="preserve">Stromverbrauch: 75.0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6755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2023-04-01T22:58:03+02:00</dcterms:created>
  <dcterms:modified xsi:type="dcterms:W3CDTF">2023-04-01T22:58:03+02:00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