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E4001/LED4N080D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Luminaire linéaire industriel au design minimaliste. Protection contre les surtensions (LN/PE): 1kV/2kV (pour les environnements industriels légers).</w:t>
      </w:r>
    </w:p>
    <w:p>
      <w:pPr>
        <w:numPr>
          <w:ilvl w:val="0"/>
          <w:numId w:val="3"/>
        </w:numPr>
      </w:pPr>
      <w:r>
        <w:rPr/>
        <w:t xml:space="preserve">Dual●lens , optique polycarbonate (PC), distribution lumineuse intensive .</w:t>
      </w:r>
    </w:p>
    <w:p>
      <w:pPr>
        <w:numPr>
          <w:ilvl w:val="0"/>
          <w:numId w:val="3"/>
        </w:numPr>
      </w:pPr>
      <w:r>
        <w:rPr/>
        <w:t xml:space="preserve">Dimensions: 4000 mm x 60 mm x 135 mm.</w:t>
      </w:r>
    </w:p>
    <w:p>
      <w:pPr>
        <w:numPr>
          <w:ilvl w:val="0"/>
          <w:numId w:val="3"/>
        </w:numPr>
      </w:pPr>
      <w:r>
        <w:rPr/>
        <w:t xml:space="preserve">Flux lumineux: 9650 lm, Efficacité lumineuse: 129 lm/W.</w:t>
      </w:r>
    </w:p>
    <w:p>
      <w:pPr>
        <w:numPr>
          <w:ilvl w:val="0"/>
          <w:numId w:val="3"/>
        </w:numPr>
      </w:pPr>
      <w:r>
        <w:rPr/>
        <w:t xml:space="preserve">Consommation de courant: 75.0 W, DALI gradable.</w:t>
      </w:r>
    </w:p>
    <w:p>
      <w:pPr>
        <w:numPr>
          <w:ilvl w:val="0"/>
          <w:numId w:val="3"/>
        </w:numPr>
      </w:pPr>
      <w:r>
        <w:rPr/>
        <w:t xml:space="preserve">Fréquence: 50-60Hz AC.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99%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couleur: 4000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Caisson: aluminium laqué, RAL9016 - Blanc signalisation (texturé).</w:t>
      </w:r>
    </w:p>
    <w:p>
      <w:pPr>
        <w:numPr>
          <w:ilvl w:val="0"/>
          <w:numId w:val="3"/>
        </w:numPr>
      </w:pPr>
      <w:r>
        <w:rPr/>
        <w:t xml:space="preserve">Degré de protection IP: IP40.</w:t>
      </w:r>
    </w:p>
    <w:p>
      <w:pPr>
        <w:numPr>
          <w:ilvl w:val="0"/>
          <w:numId w:val="3"/>
        </w:numPr>
      </w:pPr>
      <w:r>
        <w:rPr/>
        <w:t xml:space="preserve">Degré de protection IK: IK06.</w:t>
      </w:r>
    </w:p>
    <w:p>
      <w:pPr>
        <w:numPr>
          <w:ilvl w:val="0"/>
          <w:numId w:val="3"/>
        </w:numPr>
      </w:pPr>
      <w:r>
        <w:rPr/>
        <w:t xml:space="preserve">Source lumineuse remplaçable (LED uniquement) par un professionnel. Appareil de contrôle remplaçable par un professionnel.</w:t>
      </w:r>
    </w:p>
    <w:p>
      <w:pPr>
        <w:numPr>
          <w:ilvl w:val="0"/>
          <w:numId w:val="3"/>
        </w:numPr>
      </w:pPr>
      <w:r>
        <w:rPr/>
        <w:t xml:space="preserve">Essai au fil incandescent: 850°C.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>
      <w:pPr>
        <w:numPr>
          <w:ilvl w:val="0"/>
          <w:numId w:val="3"/>
        </w:numPr>
      </w:pPr>
      <w:r>
        <w:rPr/>
        <w:t xml:space="preserve">Accessoires nécessaires au montage, choix parmi : E7H301, E4H1000, E4H111, E4H112, E4H121, E4H122, E4H131, E4H141, E4H142, 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694D15B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2024-04-29T12:53:43+02:00</dcterms:created>
  <dcterms:modified xsi:type="dcterms:W3CDTF">2024-04-29T12:53:43+02:00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