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E4001/LED4N120D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4000 mm x 60 mm x 135 mm.</w:t>
      </w:r>
    </w:p>
    <w:p>
      <w:pPr>
        <w:numPr>
          <w:ilvl w:val="0"/>
          <w:numId w:val="3"/>
        </w:numPr>
      </w:pPr>
      <w:r>
        <w:rPr/>
        <w:t xml:space="preserve">Flux lumineux: 12550 lm, Efficacité lumineuse: 123 lm/W.</w:t>
      </w:r>
    </w:p>
    <w:p>
      <w:pPr>
        <w:numPr>
          <w:ilvl w:val="0"/>
          <w:numId w:val="3"/>
        </w:numPr>
      </w:pPr>
      <w:r>
        <w:rPr/>
        <w:t xml:space="preserve">Consommation de courant: 102.0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C3A81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2023-04-01T22:58:17+02:00</dcterms:created>
  <dcterms:modified xsi:type="dcterms:W3CDTF">2023-04-01T22:58:17+02:00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