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E4010/LED15W090D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linéaire industriel au design minimaliste. Protection contre les surtensions (LN/PE): 1kV/2kV (pour les environnements industriels légers).</w:t>
      </w:r>
    </w:p>
    <w:p>
      <w:pPr>
        <w:numPr>
          <w:ilvl w:val="0"/>
          <w:numId w:val="3"/>
        </w:numPr>
      </w:pPr>
      <w:r>
        <w:rPr/>
        <w:t xml:space="preserve">Dual●lens , optique polycarbonate (PC), distribution lumineuse intensive .</w:t>
      </w:r>
    </w:p>
    <w:p>
      <w:pPr>
        <w:numPr>
          <w:ilvl w:val="0"/>
          <w:numId w:val="3"/>
        </w:numPr>
      </w:pPr>
      <w:r>
        <w:rPr/>
        <w:t xml:space="preserve">Dimensions: 1560 mm x 60 mm x 135 mm.</w:t>
      </w:r>
    </w:p>
    <w:p>
      <w:pPr>
        <w:numPr>
          <w:ilvl w:val="0"/>
          <w:numId w:val="3"/>
        </w:numPr>
      </w:pPr>
      <w:r>
        <w:rPr/>
        <w:t xml:space="preserve">Flux lumineux: 9200 lm, Efficacité lumineuse: 118 lm/W.</w:t>
      </w:r>
    </w:p>
    <w:p>
      <w:pPr>
        <w:numPr>
          <w:ilvl w:val="0"/>
          <w:numId w:val="3"/>
        </w:numPr>
      </w:pPr>
      <w:r>
        <w:rPr/>
        <w:t xml:space="preserve">Consommation de courant: 78.0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DUAL●LENS™ avec UGR &lt;= 25 conforme à la norme EN 12464-1 pour de faibles exigences visuelles et de concentration, mobilité fréquente.</w:t>
      </w:r>
    </w:p>
    <w:p>
      <w:pPr>
        <w:numPr>
          <w:ilvl w:val="0"/>
          <w:numId w:val="3"/>
        </w:numPr>
      </w:pPr>
      <w:r>
        <w:rPr/>
        <w:t xml:space="preserve">Caisson: aluminium laqué,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IP40.</w:t>
      </w:r>
    </w:p>
    <w:p>
      <w:pPr>
        <w:numPr>
          <w:ilvl w:val="0"/>
          <w:numId w:val="3"/>
        </w:numPr>
      </w:pPr>
      <w:r>
        <w:rPr/>
        <w:t xml:space="preserve">Degré de protection IK: IK06.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623A5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2025-03-01T19:25:34+01:00</dcterms:created>
  <dcterms:modified xsi:type="dcterms:W3CDTF">2025-03-01T19:25:34+01:00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