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E4011/LED2W120S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industrial lineal con diseño elegante. Protección contra sobretensiones (LN/PE): 1kV/2kV (para entornos industriales ligeros).</w:t>
      </w:r>
    </w:p>
    <w:p>
      <w:pPr>
        <w:numPr>
          <w:ilvl w:val="0"/>
          <w:numId w:val="3"/>
        </w:numPr>
      </w:pPr>
      <w:r>
        <w:rPr/>
        <w:t xml:space="preserve">DUAL●LENS óptica, policarbonato (PC), intensiva distribución luminosa.</w:t>
      </w:r>
    </w:p>
    <w:p>
      <w:pPr>
        <w:numPr>
          <w:ilvl w:val="0"/>
          <w:numId w:val="3"/>
        </w:numPr>
      </w:pPr>
      <w:r>
        <w:rPr/>
        <w:t xml:space="preserve">Dimensiones: 2000 mm x 60 mm x 135 mm.</w:t>
      </w:r>
    </w:p>
    <w:p>
      <w:pPr>
        <w:numPr>
          <w:ilvl w:val="0"/>
          <w:numId w:val="3"/>
        </w:numPr>
      </w:pPr>
      <w:r>
        <w:rPr/>
        <w:t xml:space="preserve">Flujo luminoso: 12500 lm, Flujo luminoso específico: 120 lm/W.</w:t>
      </w:r>
    </w:p>
    <w:p>
      <w:pPr>
        <w:numPr>
          <w:ilvl w:val="0"/>
          <w:numId w:val="3"/>
        </w:numPr>
      </w:pPr>
      <w:r>
        <w:rPr/>
        <w:t xml:space="preserve">Consumo de energía: 104.0 W, no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99%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DUAL●LENS™ con UGR &lt;= 25 conforme a la norma EN 12464-1 para baja demanda visual, y movilidad frecuente en puesto de trabajo.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RAL9016 - blanco tráfico.</w:t>
      </w:r>
    </w:p>
    <w:p>
      <w:pPr>
        <w:numPr>
          <w:ilvl w:val="0"/>
          <w:numId w:val="3"/>
        </w:numPr>
      </w:pPr>
      <w:r>
        <w:rPr/>
        <w:t xml:space="preserve">Grado de protección IP: IP40.</w:t>
      </w:r>
    </w:p>
    <w:p>
      <w:pPr>
        <w:numPr>
          <w:ilvl w:val="0"/>
          <w:numId w:val="3"/>
        </w:numPr>
      </w:pPr>
      <w:r>
        <w:rPr/>
        <w:t xml:space="preserve">Grado de protección IK: IK06.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756F46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2025-03-01T19:26:52+01:00</dcterms:created>
  <dcterms:modified xsi:type="dcterms:W3CDTF">2025-03-01T19:26:52+01:00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