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 com design elegante. Proteção contra sobretensões (LN/PE): 1kV/2kV (para ambientes industriais leves).</w:t>
      </w:r>
    </w:p>
    <w:p>
      <w:pPr>
        <w:numPr>
          <w:ilvl w:val="0"/>
          <w:numId w:val="3"/>
        </w:numPr>
      </w:pPr>
      <w:r>
        <w:rPr/>
        <w:t xml:space="preserve">DUAL●LENS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Dimensões: 4000 mm x 60 mm x 135 mm.</w:t>
      </w:r>
    </w:p>
    <w:p>
      <w:pPr>
        <w:numPr>
          <w:ilvl w:val="0"/>
          <w:numId w:val="3"/>
        </w:numPr>
      </w:pPr>
      <w:r>
        <w:rPr/>
        <w:t xml:space="preserve">Fluxo luminoso: 12500 lm, Fluxo luminoso específico: 118 lm/W.</w:t>
      </w:r>
    </w:p>
    <w:p>
      <w:pPr>
        <w:numPr>
          <w:ilvl w:val="0"/>
          <w:numId w:val="3"/>
        </w:numPr>
      </w:pPr>
      <w:r>
        <w:rPr/>
        <w:t xml:space="preserve">Potência: 106.0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DUAL●LENS™ com UGR &lt;= 25 em conformidade com a norma EN 12464-1 para baixas exigências visuais e de concentração, mobilidade frequente</w:t>
      </w:r>
    </w:p>
    <w:p>
      <w:pPr>
        <w:numPr>
          <w:ilvl w:val="0"/>
          <w:numId w:val="3"/>
        </w:numPr>
      </w:pPr>
      <w:r>
        <w:rPr/>
        <w:t xml:space="preserve">Alumínio lacado base, RAL9016 - tráfego branco.</w:t>
      </w:r>
    </w:p>
    <w:p>
      <w:pPr>
        <w:numPr>
          <w:ilvl w:val="0"/>
          <w:numId w:val="3"/>
        </w:numPr>
      </w:pPr>
      <w:r>
        <w:rPr/>
        <w:t xml:space="preserve">Grau de protecção IP: IP40.</w:t>
      </w:r>
    </w:p>
    <w:p>
      <w:pPr>
        <w:numPr>
          <w:ilvl w:val="0"/>
          <w:numId w:val="3"/>
        </w:numPr>
      </w:pPr>
      <w:r>
        <w:rPr/>
        <w:t xml:space="preserve">Grau de protecção IK: IK06.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AF2D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2025-03-01T19:17:25+01:00</dcterms:created>
  <dcterms:modified xsi:type="dcterms:W3CDTF">2025-03-01T19:17:25+01:00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